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6840"/>
        <w:gridCol w:w="2520"/>
      </w:tblGrid>
      <w:tr>
        <w:tc>
          <w:tcPr>
            <w:tcW w:type="dxa" w:w="6840"/>
            <w:tcBorders>
              <w:top w:val="none" w:color="FFFFFF" w:sz="0"/>
              <w:left w:val="none" w:color="FFFFFF" w:sz="0"/>
              <w:bottom w:val="none" w:color="FFFFFF" w:sz="0"/>
              <w:right w:val="none" w:color="FFFFFF" w:sz="0"/>
            </w:tcBorders>
            <w:tcMar>
              <w:top w:type="dxa" w:w="0"/>
              <w:left w:type="dxa" w:w="0"/>
              <w:bottom w:type="dxa" w:w="0"/>
              <w:right w:type="dxa" w:w="240"/>
            </w:tcMar>
            <w:vAlign w:val="center"/>
          </w:tcPr>
          <w:p>
            <w:pPr>
              <w:spacing w:after="40" w:before="120"/>
            </w:pPr>
            <w:r>
              <w:rPr>
                <w:rFonts w:ascii="Calibri" w:cs="Calibri" w:eastAsia="Calibri" w:hAnsi="Calibri"/>
                <w:b/>
                <w:bCs/>
                <w:color w:val="1E3A5F"/>
                <w:sz w:val="48"/>
                <w:szCs w:val="48"/>
              </w:rPr>
              <w:t xml:space="preserve">James Lawlor, DO, MBA, FACOI</w:t>
            </w:r>
          </w:p>
          <w:p>
            <w:pPr>
              <w:spacing w:after="80" w:before="0"/>
            </w:pPr>
            <w:r>
              <w:rPr>
                <w:rFonts w:ascii="Calibri" w:cs="Calibri" w:eastAsia="Calibri" w:hAnsi="Calibri"/>
                <w:i/>
                <w:iCs/>
                <w:color w:val="028090"/>
                <w:sz w:val="22"/>
                <w:szCs w:val="22"/>
              </w:rPr>
              <w:t xml:space="preserve">Architect of Semi-Concierge Medicine® • Founder, AMMP &amp; Tributary Advisory Group</w:t>
            </w:r>
          </w:p>
        </w:tc>
        <w:tc>
          <w:tcPr>
            <w:tcW w:type="dxa" w:w="2520"/>
            <w:tcBorders>
              <w:top w:val="none" w:color="FFFFFF" w:sz="0"/>
              <w:left w:val="none" w:color="FFFFFF" w:sz="0"/>
              <w:bottom w:val="none" w:color="FFFFFF" w:sz="0"/>
              <w:right w:val="none" w:color="FFFFFF" w:sz="0"/>
            </w:tcBorders>
            <w:tcMar>
              <w:top w:type="dxa" w:w="0"/>
              <w:left w:type="dxa" w:w="0"/>
              <w:bottom w:type="dxa" w:w="0"/>
              <w:right w:type="dxa" w:w="0"/>
            </w:tcMar>
            <w:vAlign w:val="center"/>
          </w:tcPr>
          <w:p>
            <w:pPr>
              <w:jc w:val="right"/>
            </w:pPr>
            <w:r>
              <w:drawing>
                <wp:inline distT="0" distB="0" distL="0" distR="0">
                  <wp:extent cx="1238250" cy="1238250"/>
                  <wp:effectExtent t="0" r="0" b="0" l="0"/>
                  <wp:docPr id="1" name="headshot" descr="Headshot" title="James Law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238250" cy="1238250"/>
                          </a:xfrm>
                          <a:prstGeom prst="rect">
                            <a:avLst/>
                          </a:prstGeom>
                        </pic:spPr>
                      </pic:pic>
                    </a:graphicData>
                  </a:graphic>
                </wp:inline>
              </w:drawing>
            </w:r>
          </w:p>
        </w:tc>
      </w:tr>
    </w:tbl>
    <w:p>
      <w:pPr>
        <w:pBdr>
          <w:bottom w:val="single" w:color="1E3A5F" w:sz="12" w:space="1"/>
        </w:pBdr>
        <w:spacing w:after="0" w:before="0"/>
      </w:pPr>
      <w:r>
        <w:t xml:space="preserve"/>
      </w:r>
    </w:p>
    <w:p>
      <w:pPr>
        <w:spacing w:after="160" w:before="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2340"/>
        <w:gridCol w:w="2340"/>
        <w:gridCol w:w="2340"/>
        <w:gridCol w:w="2340"/>
      </w:tblGrid>
      <w:tr>
        <w:tc>
          <w:tcPr>
            <w:tcW w:type="dxa" w:w="2340"/>
            <w:tcBorders>
              <w:top w:val="none" w:color="FFFFFF" w:sz="0"/>
              <w:left w:val="none" w:color="FFFFFF" w:sz="0"/>
              <w:bottom w:val="none" w:color="FFFFFF" w:sz="0"/>
              <w:right w:val="none" w:color="FFFFFF" w:sz="0"/>
            </w:tcBorders>
            <w:shd w:fill="1E3A5F" w:val="clear"/>
            <w:tcMar>
              <w:top w:type="dxa" w:w="100"/>
              <w:left w:type="dxa" w:w="140"/>
              <w:bottom w:type="dxa" w:w="100"/>
              <w:right w:type="dxa" w:w="140"/>
            </w:tcMar>
            <w:vAlign w:val="center"/>
          </w:tcPr>
          <w:p>
            <w:pPr>
              <w:jc w:val="center"/>
            </w:pPr>
            <w:r>
              <w:rPr>
                <w:rFonts w:ascii="Calibri" w:cs="Calibri" w:eastAsia="Calibri" w:hAnsi="Calibri"/>
                <w:b/>
                <w:bCs/>
                <w:color w:val="FFFFFF"/>
                <w:sz w:val="18"/>
                <w:szCs w:val="18"/>
              </w:rPr>
              <w:t xml:space="preserve">Board-Certified Internist</w:t>
            </w:r>
          </w:p>
        </w:tc>
        <w:tc>
          <w:tcPr>
            <w:tcW w:type="dxa" w:w="2340"/>
            <w:tcBorders>
              <w:top w:val="none" w:color="FFFFFF" w:sz="0"/>
              <w:left w:val="none" w:color="FFFFFF" w:sz="0"/>
              <w:bottom w:val="none" w:color="FFFFFF" w:sz="0"/>
              <w:right w:val="none" w:color="FFFFFF" w:sz="0"/>
            </w:tcBorders>
            <w:shd w:fill="1E3A5F" w:val="clear"/>
            <w:tcMar>
              <w:top w:type="dxa" w:w="100"/>
              <w:left w:type="dxa" w:w="140"/>
              <w:bottom w:type="dxa" w:w="100"/>
              <w:right w:type="dxa" w:w="140"/>
            </w:tcMar>
            <w:vAlign w:val="center"/>
          </w:tcPr>
          <w:p>
            <w:pPr>
              <w:jc w:val="center"/>
            </w:pPr>
            <w:r>
              <w:rPr>
                <w:rFonts w:ascii="Calibri" w:cs="Calibri" w:eastAsia="Calibri" w:hAnsi="Calibri"/>
                <w:b/>
                <w:bCs/>
                <w:color w:val="FFFFFF"/>
                <w:sz w:val="18"/>
                <w:szCs w:val="18"/>
              </w:rPr>
              <w:t xml:space="preserve">MBA • OSU Fisher College</w:t>
            </w:r>
          </w:p>
        </w:tc>
        <w:tc>
          <w:tcPr>
            <w:tcW w:type="dxa" w:w="2340"/>
            <w:tcBorders>
              <w:top w:val="none" w:color="FFFFFF" w:sz="0"/>
              <w:left w:val="none" w:color="FFFFFF" w:sz="0"/>
              <w:bottom w:val="none" w:color="FFFFFF" w:sz="0"/>
              <w:right w:val="none" w:color="FFFFFF" w:sz="0"/>
            </w:tcBorders>
            <w:shd w:fill="1E3A5F" w:val="clear"/>
            <w:tcMar>
              <w:top w:type="dxa" w:w="100"/>
              <w:left w:type="dxa" w:w="140"/>
              <w:bottom w:type="dxa" w:w="100"/>
              <w:right w:type="dxa" w:w="140"/>
            </w:tcMar>
            <w:vAlign w:val="center"/>
          </w:tcPr>
          <w:p>
            <w:pPr>
              <w:jc w:val="center"/>
            </w:pPr>
            <w:r>
              <w:rPr>
                <w:rFonts w:ascii="Calibri" w:cs="Calibri" w:eastAsia="Calibri" w:hAnsi="Calibri"/>
                <w:b/>
                <w:bCs/>
                <w:color w:val="FFFFFF"/>
                <w:sz w:val="18"/>
                <w:szCs w:val="18"/>
              </w:rPr>
              <w:t xml:space="preserve">FACOI</w:t>
            </w:r>
          </w:p>
        </w:tc>
        <w:tc>
          <w:tcPr>
            <w:tcW w:type="dxa" w:w="2340"/>
            <w:tcBorders>
              <w:top w:val="none" w:color="FFFFFF" w:sz="0"/>
              <w:left w:val="none" w:color="FFFFFF" w:sz="0"/>
              <w:bottom w:val="none" w:color="FFFFFF" w:sz="0"/>
              <w:right w:val="none" w:color="FFFFFF" w:sz="0"/>
            </w:tcBorders>
            <w:shd w:fill="1E3A5F" w:val="clear"/>
            <w:tcMar>
              <w:top w:type="dxa" w:w="100"/>
              <w:left w:type="dxa" w:w="140"/>
              <w:bottom w:type="dxa" w:w="100"/>
              <w:right w:type="dxa" w:w="140"/>
            </w:tcMar>
            <w:vAlign w:val="center"/>
          </w:tcPr>
          <w:p>
            <w:pPr>
              <w:jc w:val="center"/>
            </w:pPr>
            <w:r>
              <w:rPr>
                <w:rFonts w:ascii="Calibri" w:cs="Calibri" w:eastAsia="Calibri" w:hAnsi="Calibri"/>
                <w:b/>
                <w:bCs/>
                <w:color w:val="FFFFFF"/>
                <w:sz w:val="18"/>
                <w:szCs w:val="18"/>
              </w:rPr>
              <w:t xml:space="preserve">Asst. Clinical Professor, OSU COM</w:t>
            </w:r>
          </w:p>
        </w:tc>
      </w:tr>
    </w:tbl>
    <w:p>
      <w:pPr>
        <w:spacing w:after="200" w:before="0"/>
      </w:pPr>
      <w:r>
        <w:t xml:space="preserve"/>
      </w:r>
    </w:p>
    <w:p>
      <w:pPr>
        <w:spacing w:after="80" w:before="280"/>
      </w:pPr>
      <w:r>
        <w:rPr>
          <w:rFonts w:ascii="Calibri" w:cs="Calibri" w:eastAsia="Calibri" w:hAnsi="Calibri"/>
          <w:b/>
          <w:bCs/>
          <w:color w:val="028090"/>
          <w:sz w:val="20"/>
          <w:szCs w:val="20"/>
        </w:rPr>
        <w:t xml:space="preserve">ABOUT JIM</w:t>
      </w:r>
    </w:p>
    <w:p>
      <w:pPr>
        <w:pBdr>
          <w:bottom w:val="single" w:color="028090" w:sz="12" w:space="1"/>
        </w:pBdr>
        <w:spacing w:after="0" w:before="0"/>
      </w:pPr>
      <w:r>
        <w:t xml:space="preserve"/>
      </w:r>
    </w:p>
    <w:p>
      <w:pPr>
        <w:spacing w:after="80" w:before="0"/>
      </w:pPr>
      <w:r>
        <w:t xml:space="preserve"/>
      </w:r>
    </w:p>
    <w:p>
      <w:pPr>
        <w:spacing w:after="120" w:before="0"/>
      </w:pPr>
      <w:r>
        <w:rPr>
          <w:rFonts w:ascii="Calibri" w:cs="Calibri" w:eastAsia="Calibri" w:hAnsi="Calibri"/>
          <w:sz w:val="22"/>
          <w:szCs w:val="22"/>
        </w:rPr>
        <w:t xml:space="preserve">Dr. James Lawlor is a board-certified internist, health system innovator, and the creator of the Semi-Concierge Medicine® (SCM) model—a membership-based primary care framework designed to bridge the gap between high-volume fee-for-service care and traditional concierge medicine. As Medical Director of the Executive Health Program at The Ohio State University Wexner Medical Center, he led the program's complete financial and operational turnaround, implementing what is widely recognized as the first SCM program within a major academic health system.</w:t>
      </w:r>
    </w:p>
    <w:p>
      <w:pPr>
        <w:spacing w:after="120" w:before="0"/>
      </w:pPr>
      <w:r>
        <w:rPr>
          <w:rFonts w:ascii="Calibri" w:cs="Calibri" w:eastAsia="Calibri" w:hAnsi="Calibri"/>
          <w:sz w:val="22"/>
          <w:szCs w:val="22"/>
        </w:rPr>
        <w:t xml:space="preserve">Jim holds an MBA from the OSU Fisher College of Business and a graduate minor in public policy from the John Glenn School of Public Affairs. He is the founder of Tributary Advisory Group (TAG), which advises health systems, physician groups, and innovators on membership medicine strategy and implementation. He also serves as founder and board chair of the Association of Membership Medicine Professionals (AMMP)—a 501(c)(6) organization uniting clinicians, health systems, and allied professionals across the full membership medicine spectrum.</w:t>
      </w:r>
    </w:p>
    <w:p>
      <w:pPr>
        <w:spacing w:after="80" w:before="0"/>
      </w:pPr>
      <w:r>
        <w:rPr>
          <w:rFonts w:ascii="Calibri" w:cs="Calibri" w:eastAsia="Calibri" w:hAnsi="Calibri"/>
          <w:i/>
          <w:iCs/>
          <w:color w:val="5D6D7E"/>
          <w:sz w:val="22"/>
          <w:szCs w:val="22"/>
        </w:rPr>
        <w:t xml:space="preserve">In 2025, Jim was named a Top Physician Leader in Concierge Medicine by Concierge Medicine Today.</w:t>
      </w:r>
    </w:p>
    <w:p>
      <w:pPr>
        <w:spacing w:after="160" w:before="0"/>
      </w:pPr>
      <w:r>
        <w:t xml:space="preserve"/>
      </w:r>
    </w:p>
    <w:p>
      <w:pPr>
        <w:spacing w:after="80" w:before="280"/>
      </w:pPr>
      <w:r>
        <w:rPr>
          <w:rFonts w:ascii="Calibri" w:cs="Calibri" w:eastAsia="Calibri" w:hAnsi="Calibri"/>
          <w:b/>
          <w:bCs/>
          <w:color w:val="028090"/>
          <w:sz w:val="20"/>
          <w:szCs w:val="20"/>
        </w:rPr>
        <w:t xml:space="preserve">TALK TOPICS</w:t>
      </w:r>
    </w:p>
    <w:p>
      <w:pPr>
        <w:pBdr>
          <w:bottom w:val="single" w:color="028090" w:sz="12" w:space="1"/>
        </w:pBdr>
        <w:spacing w:after="0" w:before="0"/>
      </w:pPr>
      <w:r>
        <w:t xml:space="preserve"/>
      </w:r>
    </w:p>
    <w:p>
      <w:pPr>
        <w:spacing w:after="80" w:before="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560"/>
        <w:gridCol w:w="8800"/>
      </w:tblGrid>
      <w:tr>
        <w:tc>
          <w:tcPr>
            <w:tcW w:type="dxa" w:w="560"/>
            <w:tcBorders>
              <w:top w:val="none" w:color="FFFFFF" w:sz="0"/>
              <w:left w:val="none" w:color="FFFFFF" w:sz="0"/>
              <w:bottom w:val="none" w:color="FFFFFF" w:sz="0"/>
              <w:right w:val="none" w:color="FFFFFF" w:sz="0"/>
            </w:tcBorders>
            <w:shd w:fill="1E3A5F" w:val="clear"/>
            <w:tcMar>
              <w:top w:type="dxa" w:w="120"/>
              <w:left w:type="dxa" w:w="80"/>
              <w:bottom w:type="dxa" w:w="120"/>
              <w:right w:type="dxa" w:w="80"/>
            </w:tcMar>
            <w:vAlign w:val="center"/>
          </w:tcPr>
          <w:p>
            <w:pPr>
              <w:jc w:val="center"/>
            </w:pPr>
            <w:r>
              <w:rPr>
                <w:rFonts w:ascii="Calibri" w:cs="Calibri" w:eastAsia="Calibri" w:hAnsi="Calibri"/>
                <w:b/>
                <w:bCs/>
                <w:color w:val="FFFFFF"/>
                <w:sz w:val="28"/>
                <w:szCs w:val="28"/>
              </w:rPr>
              <w:t xml:space="preserve">01</w:t>
            </w:r>
          </w:p>
        </w:tc>
        <w:tc>
          <w:tcPr>
            <w:tcW w:type="dxa" w:w="8800"/>
            <w:tcBorders>
              <w:top w:val="none" w:color="FFFFFF" w:sz="0"/>
              <w:left w:val="none" w:color="FFFFFF" w:sz="0"/>
              <w:bottom w:val="none" w:color="FFFFFF" w:sz="0"/>
              <w:right w:val="none" w:color="FFFFFF" w:sz="0"/>
            </w:tcBorders>
            <w:shd w:fill="F7FAFC" w:val="clear"/>
            <w:tcMar>
              <w:top w:type="dxa" w:w="120"/>
              <w:left w:type="dxa" w:w="180"/>
              <w:bottom w:type="dxa" w:w="120"/>
              <w:right w:type="dxa" w:w="120"/>
            </w:tcMar>
          </w:tcPr>
          <w:p>
            <w:pPr>
              <w:spacing w:after="60" w:before="0"/>
            </w:pPr>
            <w:r>
              <w:rPr>
                <w:rFonts w:ascii="Calibri" w:cs="Calibri" w:eastAsia="Calibri" w:hAnsi="Calibri"/>
                <w:b/>
                <w:bCs/>
                <w:color w:val="1E3A5F"/>
                <w:sz w:val="22"/>
                <w:szCs w:val="22"/>
              </w:rPr>
              <w:t xml:space="preserve">Middle Ground Membership Models (such as Semi-Concierge Medicine®) &amp; the </w:t>
            </w:r>
            <w:hyperlink w:history="1" r:id="rIday91ra7dl-9tfw3udltbx">
              <w:r>
                <w:rPr>
                  <w:rFonts w:ascii="Calibri" w:cs="Calibri" w:eastAsia="Calibri" w:hAnsi="Calibri"/>
                  <w:b/>
                  <w:bCs/>
                  <w:color w:val="028090"/>
                  <w:sz w:val="22"/>
                  <w:szCs w:val="22"/>
                  <w:u w:val="single"/>
                </w:rPr>
                <w:t xml:space="preserve">PRM Curve</w:t>
              </w:r>
            </w:hyperlink>
          </w:p>
          <w:p>
            <w:pPr>
              <w:spacing w:after="0" w:before="0"/>
            </w:pPr>
            <w:r>
              <w:rPr>
                <w:rFonts w:ascii="Calibri" w:cs="Calibri" w:eastAsia="Calibri" w:hAnsi="Calibri"/>
                <w:color w:val="333333"/>
                <w:sz w:val="20"/>
                <w:szCs w:val="20"/>
              </w:rPr>
              <w:t xml:space="preserve">How the middle ground between fee-for-service and traditional concierge care works—and why the PRM (Patient Relationship Management) Curve reframes what’s possible in primary care design.</w:t>
            </w:r>
          </w:p>
        </w:tc>
      </w:tr>
    </w:tbl>
    <w:p>
      <w:pPr>
        <w:spacing w:after="100" w:before="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560"/>
        <w:gridCol w:w="8800"/>
      </w:tblGrid>
      <w:tr>
        <w:tc>
          <w:tcPr>
            <w:tcW w:type="dxa" w:w="560"/>
            <w:tcBorders>
              <w:top w:val="none" w:color="FFFFFF" w:sz="0"/>
              <w:left w:val="none" w:color="FFFFFF" w:sz="0"/>
              <w:bottom w:val="none" w:color="FFFFFF" w:sz="0"/>
              <w:right w:val="none" w:color="FFFFFF" w:sz="0"/>
            </w:tcBorders>
            <w:shd w:fill="1E3A5F" w:val="clear"/>
            <w:tcMar>
              <w:top w:type="dxa" w:w="120"/>
              <w:left w:type="dxa" w:w="80"/>
              <w:bottom w:type="dxa" w:w="120"/>
              <w:right w:type="dxa" w:w="80"/>
            </w:tcMar>
            <w:vAlign w:val="center"/>
          </w:tcPr>
          <w:p>
            <w:pPr>
              <w:jc w:val="center"/>
            </w:pPr>
            <w:r>
              <w:rPr>
                <w:rFonts w:ascii="Calibri" w:cs="Calibri" w:eastAsia="Calibri" w:hAnsi="Calibri"/>
                <w:b/>
                <w:bCs/>
                <w:color w:val="FFFFFF"/>
                <w:sz w:val="28"/>
                <w:szCs w:val="28"/>
              </w:rPr>
              <w:t xml:space="preserve">02</w:t>
            </w:r>
          </w:p>
        </w:tc>
        <w:tc>
          <w:tcPr>
            <w:tcW w:type="dxa" w:w="8800"/>
            <w:tcBorders>
              <w:top w:val="none" w:color="FFFFFF" w:sz="0"/>
              <w:left w:val="none" w:color="FFFFFF" w:sz="0"/>
              <w:bottom w:val="none" w:color="FFFFFF" w:sz="0"/>
              <w:right w:val="none" w:color="FFFFFF" w:sz="0"/>
            </w:tcBorders>
            <w:shd w:fill="F7FAFC" w:val="clear"/>
            <w:tcMar>
              <w:top w:type="dxa" w:w="120"/>
              <w:left w:type="dxa" w:w="180"/>
              <w:bottom w:type="dxa" w:w="120"/>
              <w:right w:type="dxa" w:w="120"/>
            </w:tcMar>
          </w:tcPr>
          <w:p>
            <w:pPr>
              <w:spacing w:after="60" w:before="0"/>
            </w:pPr>
            <w:r>
              <w:rPr>
                <w:rFonts w:ascii="Calibri" w:cs="Calibri" w:eastAsia="Calibri" w:hAnsi="Calibri"/>
                <w:b/>
                <w:bCs/>
                <w:color w:val="1E3A5F"/>
                <w:sz w:val="22"/>
                <w:szCs w:val="22"/>
              </w:rPr>
              <w:t xml:space="preserve">AMMP &amp; the Future of Membership Medicine</w:t>
            </w:r>
          </w:p>
          <w:p>
            <w:pPr>
              <w:spacing w:after="0" w:before="0"/>
            </w:pPr>
            <w:r>
              <w:rPr>
                <w:rFonts w:ascii="Calibri" w:cs="Calibri" w:eastAsia="Calibri" w:hAnsi="Calibri"/>
                <w:color w:val="333333"/>
                <w:sz w:val="20"/>
                <w:szCs w:val="20"/>
              </w:rPr>
              <w:t xml:space="preserve">The founding of the Association of Membership Medicine Professionals, why a unified professional home matters, and how the field is maturing from a fragmented landscape into a recognized category of care.</w:t>
            </w:r>
          </w:p>
        </w:tc>
      </w:tr>
    </w:tbl>
    <w:p>
      <w:pPr>
        <w:spacing w:after="100" w:before="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560"/>
        <w:gridCol w:w="8800"/>
      </w:tblGrid>
      <w:tr>
        <w:tc>
          <w:tcPr>
            <w:tcW w:type="dxa" w:w="560"/>
            <w:tcBorders>
              <w:top w:val="none" w:color="FFFFFF" w:sz="0"/>
              <w:left w:val="none" w:color="FFFFFF" w:sz="0"/>
              <w:bottom w:val="none" w:color="FFFFFF" w:sz="0"/>
              <w:right w:val="none" w:color="FFFFFF" w:sz="0"/>
            </w:tcBorders>
            <w:shd w:fill="1E3A5F" w:val="clear"/>
            <w:tcMar>
              <w:top w:type="dxa" w:w="120"/>
              <w:left w:type="dxa" w:w="80"/>
              <w:bottom w:type="dxa" w:w="120"/>
              <w:right w:type="dxa" w:w="80"/>
            </w:tcMar>
            <w:vAlign w:val="center"/>
          </w:tcPr>
          <w:p>
            <w:pPr>
              <w:jc w:val="center"/>
            </w:pPr>
            <w:r>
              <w:rPr>
                <w:rFonts w:ascii="Calibri" w:cs="Calibri" w:eastAsia="Calibri" w:hAnsi="Calibri"/>
                <w:b/>
                <w:bCs/>
                <w:color w:val="FFFFFF"/>
                <w:sz w:val="28"/>
                <w:szCs w:val="28"/>
              </w:rPr>
              <w:t xml:space="preserve">03</w:t>
            </w:r>
          </w:p>
        </w:tc>
        <w:tc>
          <w:tcPr>
            <w:tcW w:type="dxa" w:w="8800"/>
            <w:tcBorders>
              <w:top w:val="none" w:color="FFFFFF" w:sz="0"/>
              <w:left w:val="none" w:color="FFFFFF" w:sz="0"/>
              <w:bottom w:val="none" w:color="FFFFFF" w:sz="0"/>
              <w:right w:val="none" w:color="FFFFFF" w:sz="0"/>
            </w:tcBorders>
            <w:shd w:fill="F7FAFC" w:val="clear"/>
            <w:tcMar>
              <w:top w:type="dxa" w:w="120"/>
              <w:left w:type="dxa" w:w="180"/>
              <w:bottom w:type="dxa" w:w="120"/>
              <w:right w:type="dxa" w:w="120"/>
            </w:tcMar>
          </w:tcPr>
          <w:p>
            <w:pPr>
              <w:spacing w:after="60" w:before="0"/>
            </w:pPr>
            <w:r>
              <w:rPr>
                <w:rFonts w:ascii="Calibri" w:cs="Calibri" w:eastAsia="Calibri" w:hAnsi="Calibri"/>
                <w:b/>
                <w:bCs/>
                <w:color w:val="1E3A5F"/>
                <w:sz w:val="22"/>
                <w:szCs w:val="22"/>
              </w:rPr>
              <w:t xml:space="preserve">Health System Transformation Through Membership Models</w:t>
            </w:r>
          </w:p>
          <w:p>
            <w:pPr>
              <w:spacing w:after="0" w:before="0"/>
            </w:pPr>
            <w:r>
              <w:rPr>
                <w:rFonts w:ascii="Calibri" w:cs="Calibri" w:eastAsia="Calibri" w:hAnsi="Calibri"/>
                <w:color w:val="333333"/>
                <w:sz w:val="20"/>
                <w:szCs w:val="20"/>
              </w:rPr>
              <w:t xml:space="preserve">A practical framework for how academic and not-for-profit health systems can implement membership medicine—covering financial modeling, operational redesign, team-based staffing, and regulatory alignment.</w:t>
            </w:r>
          </w:p>
        </w:tc>
      </w:tr>
    </w:tbl>
    <w:p>
      <w:pPr>
        <w:spacing w:after="100" w:before="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560"/>
        <w:gridCol w:w="8800"/>
      </w:tblGrid>
      <w:tr>
        <w:tc>
          <w:tcPr>
            <w:tcW w:type="dxa" w:w="560"/>
            <w:tcBorders>
              <w:top w:val="none" w:color="FFFFFF" w:sz="0"/>
              <w:left w:val="none" w:color="FFFFFF" w:sz="0"/>
              <w:bottom w:val="none" w:color="FFFFFF" w:sz="0"/>
              <w:right w:val="none" w:color="FFFFFF" w:sz="0"/>
            </w:tcBorders>
            <w:shd w:fill="1E3A5F" w:val="clear"/>
            <w:tcMar>
              <w:top w:type="dxa" w:w="120"/>
              <w:left w:type="dxa" w:w="80"/>
              <w:bottom w:type="dxa" w:w="120"/>
              <w:right w:type="dxa" w:w="80"/>
            </w:tcMar>
            <w:vAlign w:val="center"/>
          </w:tcPr>
          <w:p>
            <w:pPr>
              <w:jc w:val="center"/>
            </w:pPr>
            <w:r>
              <w:rPr>
                <w:rFonts w:ascii="Calibri" w:cs="Calibri" w:eastAsia="Calibri" w:hAnsi="Calibri"/>
                <w:b/>
                <w:bCs/>
                <w:color w:val="FFFFFF"/>
                <w:sz w:val="28"/>
                <w:szCs w:val="28"/>
              </w:rPr>
              <w:t xml:space="preserve">04</w:t>
            </w:r>
          </w:p>
        </w:tc>
        <w:tc>
          <w:tcPr>
            <w:tcW w:type="dxa" w:w="8800"/>
            <w:tcBorders>
              <w:top w:val="none" w:color="FFFFFF" w:sz="0"/>
              <w:left w:val="none" w:color="FFFFFF" w:sz="0"/>
              <w:bottom w:val="none" w:color="FFFFFF" w:sz="0"/>
              <w:right w:val="none" w:color="FFFFFF" w:sz="0"/>
            </w:tcBorders>
            <w:shd w:fill="F7FAFC" w:val="clear"/>
            <w:tcMar>
              <w:top w:type="dxa" w:w="120"/>
              <w:left w:type="dxa" w:w="180"/>
              <w:bottom w:type="dxa" w:w="120"/>
              <w:right w:type="dxa" w:w="120"/>
            </w:tcMar>
          </w:tcPr>
          <w:p>
            <w:pPr>
              <w:spacing w:after="60" w:before="0"/>
            </w:pPr>
            <w:r>
              <w:rPr>
                <w:rFonts w:ascii="Calibri" w:cs="Calibri" w:eastAsia="Calibri" w:hAnsi="Calibri"/>
                <w:b/>
                <w:bCs/>
                <w:color w:val="1E3A5F"/>
                <w:sz w:val="22"/>
                <w:szCs w:val="22"/>
              </w:rPr>
              <w:t xml:space="preserve">Physician Burnout &amp; Practice Sustainability</w:t>
            </w:r>
          </w:p>
          <w:p>
            <w:pPr>
              <w:spacing w:after="0" w:before="0"/>
            </w:pPr>
            <w:r>
              <w:rPr>
                <w:rFonts w:ascii="Calibri" w:cs="Calibri" w:eastAsia="Calibri" w:hAnsi="Calibri"/>
                <w:color w:val="333333"/>
                <w:sz w:val="20"/>
                <w:szCs w:val="20"/>
              </w:rPr>
              <w:t xml:space="preserve">How membership medicine structurally restores physician time, autonomy, and professional satisfaction—and why the solution to burnout is a redesigned care model, not another wellness program.</w:t>
            </w:r>
          </w:p>
        </w:tc>
      </w:tr>
    </w:tbl>
    <w:p>
      <w:pPr>
        <w:spacing w:after="160" w:before="0"/>
      </w:pPr>
      <w:r>
        <w:t xml:space="preserve"/>
      </w:r>
    </w:p>
    <w:p>
      <w:pPr>
        <w:spacing w:after="80" w:before="280"/>
      </w:pPr>
      <w:r>
        <w:rPr>
          <w:rFonts w:ascii="Calibri" w:cs="Calibri" w:eastAsia="Calibri" w:hAnsi="Calibri"/>
          <w:b/>
          <w:bCs/>
          <w:color w:val="028090"/>
          <w:sz w:val="20"/>
          <w:szCs w:val="20"/>
        </w:rPr>
        <w:t xml:space="preserve">SUGGESTED INTERVIEW QUESTIONS</w:t>
      </w:r>
    </w:p>
    <w:p>
      <w:pPr>
        <w:pBdr>
          <w:bottom w:val="single" w:color="028090" w:sz="12" w:space="1"/>
        </w:pBdr>
        <w:spacing w:after="0" w:before="0"/>
      </w:pPr>
      <w:r>
        <w:t xml:space="preserve"/>
      </w:r>
    </w:p>
    <w:p>
      <w:pPr>
        <w:spacing w:after="100" w:before="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single" w:color="028090" w:sz="16"/>
              <w:bottom w:val="none" w:color="FFFFFF" w:sz="0"/>
              <w:right w:val="none" w:color="FFFFFF" w:sz="0"/>
            </w:tcBorders>
            <w:shd w:fill="F7FAFC" w:val="clear"/>
            <w:tcMar>
              <w:top w:type="dxa" w:w="100"/>
              <w:left w:type="dxa" w:w="180"/>
              <w:bottom w:type="dxa" w:w="80"/>
              <w:right w:type="dxa" w:w="120"/>
            </w:tcMar>
          </w:tcPr>
          <w:p>
            <w:pPr>
              <w:spacing w:after="80" w:before="0"/>
            </w:pPr>
            <w:r>
              <w:rPr>
                <w:rFonts w:ascii="Calibri" w:cs="Calibri" w:eastAsia="Calibri" w:hAnsi="Calibri"/>
                <w:b/>
                <w:bCs/>
                <w:color w:val="1E3A5F"/>
                <w:sz w:val="22"/>
                <w:szCs w:val="22"/>
              </w:rPr>
              <w:t xml:space="preserve">Middle Ground Membership Models (such as Semi-Concierge Medicine®) &amp; the PRM Curve</w:t>
            </w:r>
          </w:p>
          <w:p>
            <w:pPr>
              <w:spacing w:after="40" w:before="40"/>
            </w:pPr>
            <w:r>
              <w:rPr>
                <w:rFonts w:ascii="Calibri" w:cs="Calibri" w:eastAsia="Calibri" w:hAnsi="Calibri"/>
                <w:b/>
                <w:bCs/>
                <w:color w:val="028090"/>
                <w:sz w:val="20"/>
                <w:szCs w:val="20"/>
              </w:rPr>
              <w:t xml:space="preserve">1.  </w:t>
            </w:r>
            <w:r>
              <w:rPr>
                <w:rFonts w:ascii="Calibri" w:cs="Calibri" w:eastAsia="Calibri" w:hAnsi="Calibri"/>
                <w:color w:val="333333"/>
                <w:sz w:val="20"/>
                <w:szCs w:val="20"/>
              </w:rPr>
              <w:t xml:space="preserve">What is the PRM Curve, and why do you say it describes the “physics” of care design?</w:t>
            </w:r>
          </w:p>
          <w:p>
            <w:pPr>
              <w:spacing w:after="40" w:before="40"/>
            </w:pPr>
            <w:r>
              <w:rPr>
                <w:rFonts w:ascii="Calibri" w:cs="Calibri" w:eastAsia="Calibri" w:hAnsi="Calibri"/>
                <w:b/>
                <w:bCs/>
                <w:color w:val="028090"/>
                <w:sz w:val="20"/>
                <w:szCs w:val="20"/>
              </w:rPr>
              <w:t xml:space="preserve">2.  </w:t>
            </w:r>
            <w:r>
              <w:rPr>
                <w:rFonts w:ascii="Calibri" w:cs="Calibri" w:eastAsia="Calibri" w:hAnsi="Calibri"/>
                <w:color w:val="333333"/>
                <w:sz w:val="20"/>
                <w:szCs w:val="20"/>
              </w:rPr>
              <w:t xml:space="preserve">How does Semi-Concierge Medicine differ from DPC and traditional concierge—and who is it actually for?</w:t>
            </w:r>
          </w:p>
          <w:p>
            <w:pPr>
              <w:spacing w:after="40" w:before="40"/>
            </w:pPr>
            <w:r>
              <w:rPr>
                <w:rFonts w:ascii="Calibri" w:cs="Calibri" w:eastAsia="Calibri" w:hAnsi="Calibri"/>
                <w:b/>
                <w:bCs/>
                <w:color w:val="028090"/>
                <w:sz w:val="20"/>
                <w:szCs w:val="20"/>
              </w:rPr>
              <w:t xml:space="preserve">3.  </w:t>
            </w:r>
            <w:r>
              <w:rPr>
                <w:rFonts w:ascii="Calibri" w:cs="Calibri" w:eastAsia="Calibri" w:hAnsi="Calibri"/>
                <w:color w:val="333333"/>
                <w:sz w:val="20"/>
                <w:szCs w:val="20"/>
              </w:rPr>
              <w:t xml:space="preserve">You built the first SCM program inside an academic health system. What did that turnaround actually look like?</w:t>
            </w:r>
          </w:p>
          <w:p>
            <w:pPr>
              <w:spacing w:after="40" w:before="40"/>
            </w:pPr>
            <w:r>
              <w:rPr>
                <w:rFonts w:ascii="Calibri" w:cs="Calibri" w:eastAsia="Calibri" w:hAnsi="Calibri"/>
                <w:b/>
                <w:bCs/>
                <w:color w:val="028090"/>
                <w:sz w:val="20"/>
                <w:szCs w:val="20"/>
              </w:rPr>
              <w:t xml:space="preserve">4.  </w:t>
            </w:r>
            <w:r>
              <w:rPr>
                <w:rFonts w:ascii="Calibri" w:cs="Calibri" w:eastAsia="Calibri" w:hAnsi="Calibri"/>
                <w:color w:val="333333"/>
                <w:sz w:val="20"/>
                <w:szCs w:val="20"/>
              </w:rPr>
              <w:t xml:space="preserve">What’s the sweet spot for panel size, and how does it change the patient and physician experience?</w:t>
            </w:r>
          </w:p>
        </w:tc>
      </w:tr>
    </w:tbl>
    <w:p>
      <w:pPr>
        <w:spacing w:after="120" w:before="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single" w:color="028090" w:sz="16"/>
              <w:bottom w:val="none" w:color="FFFFFF" w:sz="0"/>
              <w:right w:val="none" w:color="FFFFFF" w:sz="0"/>
            </w:tcBorders>
            <w:shd w:fill="F7FAFC" w:val="clear"/>
            <w:tcMar>
              <w:top w:type="dxa" w:w="100"/>
              <w:left w:type="dxa" w:w="180"/>
              <w:bottom w:type="dxa" w:w="80"/>
              <w:right w:type="dxa" w:w="120"/>
            </w:tcMar>
          </w:tcPr>
          <w:p>
            <w:pPr>
              <w:spacing w:after="80" w:before="0"/>
            </w:pPr>
            <w:r>
              <w:rPr>
                <w:rFonts w:ascii="Calibri" w:cs="Calibri" w:eastAsia="Calibri" w:hAnsi="Calibri"/>
                <w:b/>
                <w:bCs/>
                <w:color w:val="1E3A5F"/>
                <w:sz w:val="22"/>
                <w:szCs w:val="22"/>
              </w:rPr>
              <w:t xml:space="preserve">AMMP &amp; the Future of Membership Medicine</w:t>
            </w:r>
          </w:p>
          <w:p>
            <w:pPr>
              <w:spacing w:after="40" w:before="40"/>
            </w:pPr>
            <w:r>
              <w:rPr>
                <w:rFonts w:ascii="Calibri" w:cs="Calibri" w:eastAsia="Calibri" w:hAnsi="Calibri"/>
                <w:b/>
                <w:bCs/>
                <w:color w:val="028090"/>
                <w:sz w:val="20"/>
                <w:szCs w:val="20"/>
              </w:rPr>
              <w:t xml:space="preserve">1.  </w:t>
            </w:r>
            <w:r>
              <w:rPr>
                <w:rFonts w:ascii="Calibri" w:cs="Calibri" w:eastAsia="Calibri" w:hAnsi="Calibri"/>
                <w:color w:val="333333"/>
                <w:sz w:val="20"/>
                <w:szCs w:val="20"/>
              </w:rPr>
              <w:t xml:space="preserve">Why did membership medicine need its own professional association, and why now?</w:t>
            </w:r>
          </w:p>
          <w:p>
            <w:pPr>
              <w:spacing w:after="40" w:before="40"/>
            </w:pPr>
            <w:r>
              <w:rPr>
                <w:rFonts w:ascii="Calibri" w:cs="Calibri" w:eastAsia="Calibri" w:hAnsi="Calibri"/>
                <w:b/>
                <w:bCs/>
                <w:color w:val="028090"/>
                <w:sz w:val="20"/>
                <w:szCs w:val="20"/>
              </w:rPr>
              <w:t xml:space="preserve">2.  </w:t>
            </w:r>
            <w:r>
              <w:rPr>
                <w:rFonts w:ascii="Calibri" w:cs="Calibri" w:eastAsia="Calibri" w:hAnsi="Calibri"/>
                <w:color w:val="333333"/>
                <w:sz w:val="20"/>
                <w:szCs w:val="20"/>
              </w:rPr>
              <w:t xml:space="preserve">AMMP spans DPC, concierge, hybrid, and institutional models—how do you hold that tent together?</w:t>
            </w:r>
          </w:p>
          <w:p>
            <w:pPr>
              <w:spacing w:after="40" w:before="40"/>
            </w:pPr>
            <w:r>
              <w:rPr>
                <w:rFonts w:ascii="Calibri" w:cs="Calibri" w:eastAsia="Calibri" w:hAnsi="Calibri"/>
                <w:b/>
                <w:bCs/>
                <w:color w:val="028090"/>
                <w:sz w:val="20"/>
                <w:szCs w:val="20"/>
              </w:rPr>
              <w:t xml:space="preserve">3.  </w:t>
            </w:r>
            <w:r>
              <w:rPr>
                <w:rFonts w:ascii="Calibri" w:cs="Calibri" w:eastAsia="Calibri" w:hAnsi="Calibri"/>
                <w:color w:val="333333"/>
                <w:sz w:val="20"/>
                <w:szCs w:val="20"/>
              </w:rPr>
              <w:t xml:space="preserve">What does “membership medicine as a spectrum” mean, and why does the framing matter?</w:t>
            </w:r>
          </w:p>
          <w:p>
            <w:pPr>
              <w:spacing w:after="40" w:before="40"/>
            </w:pPr>
            <w:r>
              <w:rPr>
                <w:rFonts w:ascii="Calibri" w:cs="Calibri" w:eastAsia="Calibri" w:hAnsi="Calibri"/>
                <w:b/>
                <w:bCs/>
                <w:color w:val="028090"/>
                <w:sz w:val="20"/>
                <w:szCs w:val="20"/>
              </w:rPr>
              <w:t xml:space="preserve">4.  </w:t>
            </w:r>
            <w:r>
              <w:rPr>
                <w:rFonts w:ascii="Calibri" w:cs="Calibri" w:eastAsia="Calibri" w:hAnsi="Calibri"/>
                <w:color w:val="333333"/>
                <w:sz w:val="20"/>
                <w:szCs w:val="20"/>
              </w:rPr>
              <w:t xml:space="preserve">Where do you see membership medicine in healthcare delivery five years from now?</w:t>
            </w:r>
          </w:p>
        </w:tc>
      </w:tr>
    </w:tbl>
    <w:p>
      <w:pPr>
        <w:spacing w:after="120" w:before="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single" w:color="028090" w:sz="16"/>
              <w:bottom w:val="none" w:color="FFFFFF" w:sz="0"/>
              <w:right w:val="none" w:color="FFFFFF" w:sz="0"/>
            </w:tcBorders>
            <w:shd w:fill="F7FAFC" w:val="clear"/>
            <w:tcMar>
              <w:top w:type="dxa" w:w="100"/>
              <w:left w:type="dxa" w:w="180"/>
              <w:bottom w:type="dxa" w:w="80"/>
              <w:right w:type="dxa" w:w="120"/>
            </w:tcMar>
          </w:tcPr>
          <w:p>
            <w:pPr>
              <w:spacing w:after="80" w:before="0"/>
            </w:pPr>
            <w:r>
              <w:rPr>
                <w:rFonts w:ascii="Calibri" w:cs="Calibri" w:eastAsia="Calibri" w:hAnsi="Calibri"/>
                <w:b/>
                <w:bCs/>
                <w:color w:val="1E3A5F"/>
                <w:sz w:val="22"/>
                <w:szCs w:val="22"/>
              </w:rPr>
              <w:t xml:space="preserve">Health System Transformation</w:t>
            </w:r>
          </w:p>
          <w:p>
            <w:pPr>
              <w:spacing w:after="40" w:before="40"/>
            </w:pPr>
            <w:r>
              <w:rPr>
                <w:rFonts w:ascii="Calibri" w:cs="Calibri" w:eastAsia="Calibri" w:hAnsi="Calibri"/>
                <w:b/>
                <w:bCs/>
                <w:color w:val="028090"/>
                <w:sz w:val="20"/>
                <w:szCs w:val="20"/>
              </w:rPr>
              <w:t xml:space="preserve">1.  </w:t>
            </w:r>
            <w:r>
              <w:rPr>
                <w:rFonts w:ascii="Calibri" w:cs="Calibri" w:eastAsia="Calibri" w:hAnsi="Calibri"/>
                <w:color w:val="333333"/>
                <w:sz w:val="20"/>
                <w:szCs w:val="20"/>
              </w:rPr>
              <w:t xml:space="preserve">Most health systems are deeply FFS-oriented. What’s the business case for adding a membership model?</w:t>
            </w:r>
          </w:p>
          <w:p>
            <w:pPr>
              <w:spacing w:after="40" w:before="40"/>
            </w:pPr>
            <w:r>
              <w:rPr>
                <w:rFonts w:ascii="Calibri" w:cs="Calibri" w:eastAsia="Calibri" w:hAnsi="Calibri"/>
                <w:b/>
                <w:bCs/>
                <w:color w:val="028090"/>
                <w:sz w:val="20"/>
                <w:szCs w:val="20"/>
              </w:rPr>
              <w:t xml:space="preserve">2.  </w:t>
            </w:r>
            <w:r>
              <w:rPr>
                <w:rFonts w:ascii="Calibri" w:cs="Calibri" w:eastAsia="Calibri" w:hAnsi="Calibri"/>
                <w:color w:val="333333"/>
                <w:sz w:val="20"/>
                <w:szCs w:val="20"/>
              </w:rPr>
              <w:t xml:space="preserve">What are the biggest operational barriers to implementing SCM inside a large system, and how do you clear them?</w:t>
            </w:r>
          </w:p>
          <w:p>
            <w:pPr>
              <w:spacing w:after="40" w:before="40"/>
            </w:pPr>
            <w:r>
              <w:rPr>
                <w:rFonts w:ascii="Calibri" w:cs="Calibri" w:eastAsia="Calibri" w:hAnsi="Calibri"/>
                <w:b/>
                <w:bCs/>
                <w:color w:val="028090"/>
                <w:sz w:val="20"/>
                <w:szCs w:val="20"/>
              </w:rPr>
              <w:t xml:space="preserve">3.  </w:t>
            </w:r>
            <w:r>
              <w:rPr>
                <w:rFonts w:ascii="Calibri" w:cs="Calibri" w:eastAsia="Calibri" w:hAnsi="Calibri"/>
                <w:color w:val="333333"/>
                <w:sz w:val="20"/>
                <w:szCs w:val="20"/>
              </w:rPr>
              <w:t xml:space="preserve">How do you design a membership model that’s compatible with institutional compliance and payer contracts?</w:t>
            </w:r>
          </w:p>
          <w:p>
            <w:pPr>
              <w:spacing w:after="40" w:before="40"/>
            </w:pPr>
            <w:r>
              <w:rPr>
                <w:rFonts w:ascii="Calibri" w:cs="Calibri" w:eastAsia="Calibri" w:hAnsi="Calibri"/>
                <w:b/>
                <w:bCs/>
                <w:color w:val="028090"/>
                <w:sz w:val="20"/>
                <w:szCs w:val="20"/>
              </w:rPr>
              <w:t xml:space="preserve">4.  </w:t>
            </w:r>
            <w:r>
              <w:rPr>
                <w:rFonts w:ascii="Calibri" w:cs="Calibri" w:eastAsia="Calibri" w:hAnsi="Calibri"/>
                <w:color w:val="333333"/>
                <w:sz w:val="20"/>
                <w:szCs w:val="20"/>
              </w:rPr>
              <w:t xml:space="preserve">What does a scalable growth strategy look like for an academic medical center?</w:t>
            </w:r>
          </w:p>
        </w:tc>
      </w:tr>
    </w:tbl>
    <w:p>
      <w:pPr>
        <w:spacing w:after="120" w:before="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single" w:color="028090" w:sz="16"/>
              <w:bottom w:val="none" w:color="FFFFFF" w:sz="0"/>
              <w:right w:val="none" w:color="FFFFFF" w:sz="0"/>
            </w:tcBorders>
            <w:shd w:fill="F7FAFC" w:val="clear"/>
            <w:tcMar>
              <w:top w:type="dxa" w:w="100"/>
              <w:left w:type="dxa" w:w="180"/>
              <w:bottom w:type="dxa" w:w="80"/>
              <w:right w:type="dxa" w:w="120"/>
            </w:tcMar>
          </w:tcPr>
          <w:p>
            <w:pPr>
              <w:spacing w:after="80" w:before="0"/>
            </w:pPr>
            <w:r>
              <w:rPr>
                <w:rFonts w:ascii="Calibri" w:cs="Calibri" w:eastAsia="Calibri" w:hAnsi="Calibri"/>
                <w:b/>
                <w:bCs/>
                <w:color w:val="1E3A5F"/>
                <w:sz w:val="22"/>
                <w:szCs w:val="22"/>
              </w:rPr>
              <w:t xml:space="preserve">Physician Burnout &amp; Practice Sustainability</w:t>
            </w:r>
          </w:p>
          <w:p>
            <w:pPr>
              <w:spacing w:after="40" w:before="40"/>
            </w:pPr>
            <w:r>
              <w:rPr>
                <w:rFonts w:ascii="Calibri" w:cs="Calibri" w:eastAsia="Calibri" w:hAnsi="Calibri"/>
                <w:b/>
                <w:bCs/>
                <w:color w:val="028090"/>
                <w:sz w:val="20"/>
                <w:szCs w:val="20"/>
              </w:rPr>
              <w:t xml:space="preserve">1.  </w:t>
            </w:r>
            <w:r>
              <w:rPr>
                <w:rFonts w:ascii="Calibri" w:cs="Calibri" w:eastAsia="Calibri" w:hAnsi="Calibri"/>
                <w:color w:val="333333"/>
                <w:sz w:val="20"/>
                <w:szCs w:val="20"/>
              </w:rPr>
              <w:t xml:space="preserve">You’ve said burnout is a structural problem, not a personal one. What do you mean?</w:t>
            </w:r>
          </w:p>
          <w:p>
            <w:pPr>
              <w:spacing w:after="40" w:before="40"/>
            </w:pPr>
            <w:r>
              <w:rPr>
                <w:rFonts w:ascii="Calibri" w:cs="Calibri" w:eastAsia="Calibri" w:hAnsi="Calibri"/>
                <w:b/>
                <w:bCs/>
                <w:color w:val="028090"/>
                <w:sz w:val="20"/>
                <w:szCs w:val="20"/>
              </w:rPr>
              <w:t xml:space="preserve">2.  </w:t>
            </w:r>
            <w:r>
              <w:rPr>
                <w:rFonts w:ascii="Calibri" w:cs="Calibri" w:eastAsia="Calibri" w:hAnsi="Calibri"/>
                <w:color w:val="333333"/>
                <w:sz w:val="20"/>
                <w:szCs w:val="20"/>
              </w:rPr>
              <w:t xml:space="preserve">How does reducing panel size actually change the day-to-day experience of practicing medicine?</w:t>
            </w:r>
          </w:p>
          <w:p>
            <w:pPr>
              <w:spacing w:after="40" w:before="40"/>
            </w:pPr>
            <w:r>
              <w:rPr>
                <w:rFonts w:ascii="Calibri" w:cs="Calibri" w:eastAsia="Calibri" w:hAnsi="Calibri"/>
                <w:b/>
                <w:bCs/>
                <w:color w:val="028090"/>
                <w:sz w:val="20"/>
                <w:szCs w:val="20"/>
              </w:rPr>
              <w:t xml:space="preserve">3.  </w:t>
            </w:r>
            <w:r>
              <w:rPr>
                <w:rFonts w:ascii="Calibri" w:cs="Calibri" w:eastAsia="Calibri" w:hAnsi="Calibri"/>
                <w:color w:val="333333"/>
                <w:sz w:val="20"/>
                <w:szCs w:val="20"/>
              </w:rPr>
              <w:t xml:space="preserve">Can membership medicine survive inside large institutions, or does it require independence?</w:t>
            </w:r>
          </w:p>
          <w:p>
            <w:pPr>
              <w:spacing w:after="40" w:before="40"/>
            </w:pPr>
            <w:r>
              <w:rPr>
                <w:rFonts w:ascii="Calibri" w:cs="Calibri" w:eastAsia="Calibri" w:hAnsi="Calibri"/>
                <w:b/>
                <w:bCs/>
                <w:color w:val="028090"/>
                <w:sz w:val="20"/>
                <w:szCs w:val="20"/>
              </w:rPr>
              <w:t xml:space="preserve">4.  </w:t>
            </w:r>
            <w:r>
              <w:rPr>
                <w:rFonts w:ascii="Calibri" w:cs="Calibri" w:eastAsia="Calibri" w:hAnsi="Calibri"/>
                <w:color w:val="333333"/>
                <w:sz w:val="20"/>
                <w:szCs w:val="20"/>
              </w:rPr>
              <w:t xml:space="preserve">What would you tell a physician who’s burned out but skeptical that a different model is possible?</w:t>
            </w:r>
          </w:p>
        </w:tc>
      </w:tr>
    </w:tbl>
    <w:p>
      <w:pPr>
        <w:spacing w:after="200" w:before="0"/>
      </w:pPr>
      <w:r>
        <w:t xml:space="preserve"/>
      </w:r>
    </w:p>
    <w:p>
      <w:pPr>
        <w:spacing w:after="80" w:before="280"/>
      </w:pPr>
      <w:r>
        <w:rPr>
          <w:rFonts w:ascii="Calibri" w:cs="Calibri" w:eastAsia="Calibri" w:hAnsi="Calibri"/>
          <w:b/>
          <w:bCs/>
          <w:color w:val="028090"/>
          <w:sz w:val="20"/>
          <w:szCs w:val="20"/>
        </w:rPr>
        <w:t xml:space="preserve">SHORT BIO FOR SHOW NOTES</w:t>
      </w:r>
    </w:p>
    <w:p>
      <w:pPr>
        <w:pBdr>
          <w:bottom w:val="single" w:color="028090" w:sz="12" w:space="1"/>
        </w:pBdr>
        <w:spacing w:after="0" w:before="0"/>
      </w:pPr>
      <w:r>
        <w:t xml:space="preserve"/>
      </w:r>
    </w:p>
    <w:p>
      <w:pPr>
        <w:spacing w:after="80" w:before="0"/>
      </w:pPr>
      <w:r>
        <w:t xml:space="preserve"/>
      </w:r>
    </w:p>
    <w:p>
      <w:pPr>
        <w:pBdr>
          <w:left w:val="single" w:color="028090" w:sz="16" w:space="8"/>
        </w:pBdr>
        <w:shd w:fill="F7FAFC" w:val="clear"/>
        <w:spacing w:after="0" w:before="0"/>
        <w:ind w:left="240"/>
      </w:pPr>
      <w:r>
        <w:rPr>
          <w:rFonts w:ascii="Calibri" w:cs="Calibri" w:eastAsia="Calibri" w:hAnsi="Calibri"/>
          <w:sz w:val="22"/>
          <w:szCs w:val="22"/>
        </w:rPr>
        <w:t xml:space="preserve">Dr. James Lawlor is a board-certified internist, creator of the Semi-Concierge Medicine® model, founder of Tributary Advisory Group, and founder &amp; board chair of the Association of Membership Medicine Professionals (AMMP). He serves as Medical Director of the Executive Health Program at The Ohio State University Wexner Medical Center and was named a Top Physician Leader in Concierge Medicine by Concierge Medicine Today in 2025.</w:t>
      </w:r>
    </w:p>
    <w:p>
      <w:pPr>
        <w:spacing w:after="200" w:before="0"/>
      </w:pPr>
      <w:r>
        <w:t xml:space="preserve"/>
      </w:r>
    </w:p>
    <w:p>
      <w:pPr>
        <w:spacing w:after="80" w:before="280"/>
      </w:pPr>
      <w:r>
        <w:rPr>
          <w:rFonts w:ascii="Calibri" w:cs="Calibri" w:eastAsia="Calibri" w:hAnsi="Calibri"/>
          <w:b/>
          <w:bCs/>
          <w:color w:val="028090"/>
          <w:sz w:val="20"/>
          <w:szCs w:val="20"/>
        </w:rPr>
        <w:t xml:space="preserve">CONNECT &amp; BOOK</w:t>
      </w:r>
    </w:p>
    <w:p>
      <w:pPr>
        <w:pBdr>
          <w:bottom w:val="single" w:color="028090" w:sz="12" w:space="1"/>
        </w:pBdr>
        <w:spacing w:after="0" w:before="0"/>
      </w:pPr>
      <w:r>
        <w:t xml:space="preserve"/>
      </w:r>
    </w:p>
    <w:p>
      <w:pPr>
        <w:spacing w:after="80" w:before="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2340"/>
        <w:gridCol w:w="2340"/>
        <w:gridCol w:w="2340"/>
        <w:gridCol w:w="2340"/>
      </w:tblGrid>
      <w:tr>
        <w:tc>
          <w:tcPr>
            <w:tcW w:type="dxa" w:w="2340"/>
            <w:tcBorders>
              <w:top w:val="none" w:color="FFFFFF" w:sz="0"/>
              <w:left w:val="none" w:color="FFFFFF" w:sz="0"/>
              <w:bottom w:val="none" w:color="FFFFFF" w:sz="0"/>
              <w:right w:val="none" w:color="FFFFFF" w:sz="0"/>
            </w:tcBorders>
            <w:shd w:fill="D6EAF8" w:val="clear"/>
            <w:tcMar>
              <w:top w:type="dxa" w:w="100"/>
              <w:left w:type="dxa" w:w="140"/>
              <w:bottom w:type="dxa" w:w="100"/>
              <w:right w:type="dxa" w:w="140"/>
            </w:tcMar>
            <w:vAlign w:val="center"/>
          </w:tcPr>
          <w:p>
            <w:pPr>
              <w:spacing w:after="40" w:before="0"/>
              <w:jc w:val="center"/>
            </w:pPr>
            <w:r>
              <w:rPr>
                <w:rFonts w:ascii="Calibri" w:cs="Calibri" w:eastAsia="Calibri" w:hAnsi="Calibri"/>
                <w:b/>
                <w:bCs/>
                <w:color w:val="1E3A5F"/>
                <w:sz w:val="18"/>
                <w:szCs w:val="18"/>
              </w:rPr>
              <w:t xml:space="preserve">Advisory Group</w:t>
            </w:r>
          </w:p>
          <w:p>
            <w:pPr>
              <w:jc w:val="center"/>
            </w:pPr>
            <w:hyperlink w:history="1" r:id="rIdcqcp0wqett7i_bp4cujzj">
              <w:r>
                <w:rPr>
                  <w:rFonts w:ascii="Calibri" w:cs="Calibri" w:eastAsia="Calibri" w:hAnsi="Calibri"/>
                  <w:color w:val="028090"/>
                  <w:sz w:val="18"/>
                  <w:szCs w:val="18"/>
                  <w:u w:val="single"/>
                </w:rPr>
                <w:t xml:space="preserve">tributaryadvisory.com</w:t>
              </w:r>
            </w:hyperlink>
          </w:p>
        </w:tc>
        <w:tc>
          <w:tcPr>
            <w:tcW w:type="dxa" w:w="2340"/>
            <w:tcBorders>
              <w:top w:val="none" w:color="FFFFFF" w:sz="0"/>
              <w:left w:val="none" w:color="FFFFFF" w:sz="0"/>
              <w:bottom w:val="none" w:color="FFFFFF" w:sz="0"/>
              <w:right w:val="none" w:color="FFFFFF" w:sz="0"/>
            </w:tcBorders>
            <w:shd w:fill="D6EAF8" w:val="clear"/>
            <w:tcMar>
              <w:top w:type="dxa" w:w="100"/>
              <w:left w:type="dxa" w:w="140"/>
              <w:bottom w:type="dxa" w:w="100"/>
              <w:right w:type="dxa" w:w="140"/>
            </w:tcMar>
            <w:vAlign w:val="center"/>
          </w:tcPr>
          <w:p>
            <w:pPr>
              <w:spacing w:after="40" w:before="0"/>
              <w:jc w:val="center"/>
            </w:pPr>
            <w:r>
              <w:rPr>
                <w:rFonts w:ascii="Calibri" w:cs="Calibri" w:eastAsia="Calibri" w:hAnsi="Calibri"/>
                <w:b/>
                <w:bCs/>
                <w:color w:val="1E3A5F"/>
                <w:sz w:val="18"/>
                <w:szCs w:val="18"/>
              </w:rPr>
              <w:t xml:space="preserve">AMMP</w:t>
            </w:r>
          </w:p>
          <w:p>
            <w:pPr>
              <w:jc w:val="center"/>
            </w:pPr>
            <w:hyperlink w:history="1" r:id="rIdtsaadhtbug4syag-buyua">
              <w:r>
                <w:rPr>
                  <w:rFonts w:ascii="Calibri" w:cs="Calibri" w:eastAsia="Calibri" w:hAnsi="Calibri"/>
                  <w:color w:val="028090"/>
                  <w:sz w:val="18"/>
                  <w:szCs w:val="18"/>
                  <w:u w:val="single"/>
                </w:rPr>
                <w:t xml:space="preserve">membermed.org</w:t>
              </w:r>
            </w:hyperlink>
          </w:p>
        </w:tc>
        <w:tc>
          <w:tcPr>
            <w:tcW w:type="dxa" w:w="2340"/>
            <w:tcBorders>
              <w:top w:val="none" w:color="FFFFFF" w:sz="0"/>
              <w:left w:val="none" w:color="FFFFFF" w:sz="0"/>
              <w:bottom w:val="none" w:color="FFFFFF" w:sz="0"/>
              <w:right w:val="none" w:color="FFFFFF" w:sz="0"/>
            </w:tcBorders>
            <w:shd w:fill="D6EAF8" w:val="clear"/>
            <w:tcMar>
              <w:top w:type="dxa" w:w="100"/>
              <w:left w:type="dxa" w:w="140"/>
              <w:bottom w:type="dxa" w:w="100"/>
              <w:right w:type="dxa" w:w="140"/>
            </w:tcMar>
            <w:vAlign w:val="center"/>
          </w:tcPr>
          <w:p>
            <w:pPr>
              <w:spacing w:after="40" w:before="0"/>
              <w:jc w:val="center"/>
            </w:pPr>
            <w:r>
              <w:rPr>
                <w:rFonts w:ascii="Calibri" w:cs="Calibri" w:eastAsia="Calibri" w:hAnsi="Calibri"/>
                <w:b/>
                <w:bCs/>
                <w:color w:val="1E3A5F"/>
                <w:sz w:val="18"/>
                <w:szCs w:val="18"/>
              </w:rPr>
              <w:t xml:space="preserve">LinkedIn</w:t>
            </w:r>
          </w:p>
          <w:p>
            <w:pPr>
              <w:jc w:val="center"/>
            </w:pPr>
            <w:hyperlink w:history="1" r:id="rIdysoif_urovktkzztcd4br">
              <w:r>
                <w:rPr>
                  <w:rFonts w:ascii="Calibri" w:cs="Calibri" w:eastAsia="Calibri" w:hAnsi="Calibri"/>
                  <w:color w:val="028090"/>
                  <w:sz w:val="18"/>
                  <w:szCs w:val="18"/>
                  <w:u w:val="single"/>
                </w:rPr>
                <w:t xml:space="preserve">www.linkedin.com/in/jim-lawlor/</w:t>
              </w:r>
            </w:hyperlink>
          </w:p>
        </w:tc>
        <w:tc>
          <w:tcPr>
            <w:tcW w:type="dxa" w:w="2340"/>
            <w:tcBorders>
              <w:top w:val="none" w:color="FFFFFF" w:sz="0"/>
              <w:left w:val="none" w:color="FFFFFF" w:sz="0"/>
              <w:bottom w:val="none" w:color="FFFFFF" w:sz="0"/>
              <w:right w:val="none" w:color="FFFFFF" w:sz="0"/>
            </w:tcBorders>
            <w:shd w:fill="D6EAF8" w:val="clear"/>
            <w:tcMar>
              <w:top w:type="dxa" w:w="100"/>
              <w:left w:type="dxa" w:w="140"/>
              <w:bottom w:type="dxa" w:w="100"/>
              <w:right w:type="dxa" w:w="140"/>
            </w:tcMar>
            <w:vAlign w:val="center"/>
          </w:tcPr>
          <w:p>
            <w:pPr>
              <w:spacing w:after="40" w:before="0"/>
              <w:jc w:val="center"/>
            </w:pPr>
            <w:r>
              <w:rPr>
                <w:rFonts w:ascii="Calibri" w:cs="Calibri" w:eastAsia="Calibri" w:hAnsi="Calibri"/>
                <w:b/>
                <w:bCs/>
                <w:color w:val="1E3A5F"/>
                <w:sz w:val="18"/>
                <w:szCs w:val="18"/>
              </w:rPr>
              <w:t xml:space="preserve">X / Twitter</w:t>
            </w:r>
          </w:p>
          <w:p>
            <w:pPr>
              <w:jc w:val="center"/>
            </w:pPr>
            <w:hyperlink w:history="1" r:id="rIdatrz9qpdfor5uuhipofve">
              <w:r>
                <w:rPr>
                  <w:rFonts w:ascii="Calibri" w:cs="Calibri" w:eastAsia="Calibri" w:hAnsi="Calibri"/>
                  <w:color w:val="028090"/>
                  <w:sz w:val="18"/>
                  <w:szCs w:val="18"/>
                  <w:u w:val="single"/>
                </w:rPr>
                <w:t xml:space="preserve">x.com/SayDrJ</w:t>
              </w:r>
            </w:hyperlink>
          </w:p>
        </w:tc>
      </w:tr>
    </w:tbl>
    <w:p>
      <w:pPr>
        <w:spacing w:after="80" w:before="0"/>
      </w:pPr>
      <w:r>
        <w:t xml:space="preserve"/>
      </w:r>
    </w:p>
    <w:p>
      <w:pPr>
        <w:spacing w:after="40" w:before="0"/>
        <w:jc w:val="center"/>
      </w:pPr>
      <w:r>
        <w:rPr>
          <w:rFonts w:ascii="Calibri" w:cs="Calibri" w:eastAsia="Calibri" w:hAnsi="Calibri"/>
          <w:b/>
          <w:bCs/>
          <w:color w:val="1E3A5F"/>
          <w:sz w:val="20"/>
          <w:szCs w:val="20"/>
        </w:rPr>
        <w:t xml:space="preserve">Email: </w:t>
      </w:r>
      <w:hyperlink w:history="1" r:id="rIdosvfj8lbu6anwftdva66p">
        <w:r>
          <w:rPr>
            <w:rFonts w:ascii="Calibri" w:cs="Calibri" w:eastAsia="Calibri" w:hAnsi="Calibri"/>
            <w:color w:val="028090"/>
            <w:sz w:val="20"/>
            <w:szCs w:val="20"/>
            <w:u w:val="single"/>
          </w:rPr>
          <w:t xml:space="preserve">booking@tributaryadvisory.com</w:t>
        </w:r>
      </w:hyperlink>
      <w:r>
        <w:rPr>
          <w:rFonts w:ascii="Calibri" w:cs="Calibri" w:eastAsia="Calibri" w:hAnsi="Calibri"/>
          <w:color w:val="1E3A5F"/>
          <w:sz w:val="20"/>
          <w:szCs w:val="20"/>
        </w:rPr>
        <w:t xml:space="preserve">   |   Phone: (614) 602-2144</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28090" w:sz="6" w:space="1"/>
      </w:pBdr>
      <w:spacing w:after="0" w:before="80"/>
      <w:jc w:val="center"/>
    </w:pPr>
    <w:r>
      <w:rPr>
        <w:rFonts w:ascii="Calibri" w:cs="Calibri" w:eastAsia="Calibri" w:hAnsi="Calibri"/>
        <w:color w:val="5D6D7E"/>
        <w:sz w:val="16"/>
        <w:szCs w:val="16"/>
      </w:rPr>
      <w:t xml:space="preserve">tributaryadvisory.com  |  membermed.org  |  @SayDrJ  |  linkedin.com/in/jim-lawlor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28090" w:sz="6" w:space="1"/>
      </w:pBdr>
      <w:spacing w:after="80" w:before="0"/>
    </w:pPr>
    <w:r>
      <w:rPr>
        <w:rFonts w:ascii="Calibri" w:cs="Calibri" w:eastAsia="Calibri" w:hAnsi="Calibri"/>
        <w:b/>
        <w:bCs/>
        <w:color w:val="1E3A5F"/>
        <w:sz w:val="18"/>
        <w:szCs w:val="18"/>
      </w:rPr>
      <w:t xml:space="preserve">James Lawlor, DO, MBA, FACOI</w:t>
    </w:r>
    <w:r>
      <w:rPr>
        <w:rFonts w:ascii="Calibri" w:cs="Calibri" w:eastAsia="Calibri" w:hAnsi="Calibri"/>
        <w:color w:val="5D6D7E"/>
        <w:sz w:val="18"/>
        <w:szCs w:val="18"/>
      </w:rPr>
      <w:t xml:space="preserve">  |  Podcast Guest Media Kit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3333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ay91ra7dl-9tfw3udltbx" Type="http://schemas.openxmlformats.org/officeDocument/2006/relationships/hyperlink" Target="https://www.linkedin.com/pulse/prm-curve-rethinking-design-physician-patient-lawlor-do-mba-facoi-57uyc/" TargetMode="External"/><Relationship Id="rIdcqcp0wqett7i_bp4cujzj" Type="http://schemas.openxmlformats.org/officeDocument/2006/relationships/hyperlink" Target="https://tributaryadvisory.com" TargetMode="External"/><Relationship Id="rIdtsaadhtbug4syag-buyua" Type="http://schemas.openxmlformats.org/officeDocument/2006/relationships/hyperlink" Target="https://membermed.org" TargetMode="External"/><Relationship Id="rIdysoif_urovktkzztcd4br" Type="http://schemas.openxmlformats.org/officeDocument/2006/relationships/hyperlink" Target="https://www.linkedin.com/in/jim-lawlor/" TargetMode="External"/><Relationship Id="rIdatrz9qpdfor5uuhipofve" Type="http://schemas.openxmlformats.org/officeDocument/2006/relationships/hyperlink" Target="https://x.com/SayDrJ" TargetMode="External"/><Relationship Id="rIdosvfj8lbu6anwftdva66p" Type="http://schemas.openxmlformats.org/officeDocument/2006/relationships/hyperlink" Target="mailto:booking@tributaryadvisory.com" TargetMode="External"/><Relationship Id="rId9" Type="http://schemas.openxmlformats.org/officeDocument/2006/relationships/image" Target="media/cafcbfda3b0c2ca423b57ef99303ac6357c13069.jpg"/><Relationship Id="rId16"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2026-06-07T19:49:35.051Z</dcterms:created>
  <dcterms:modified xsi:type="dcterms:W3CDTF">2026-06-07T19:49:35.052Z</dcterms:modified>
</cp:coreProperties>
</file>

<file path=docProps/custom.xml><?xml version="1.0" encoding="utf-8"?>
<Properties xmlns="http://schemas.openxmlformats.org/officeDocument/2006/custom-properties" xmlns:vt="http://schemas.openxmlformats.org/officeDocument/2006/docPropsVTypes"/>
</file>